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895" w:rsidRDefault="007B5895" w:rsidP="007B5895">
      <w:pPr>
        <w:spacing w:line="360" w:lineRule="auto"/>
        <w:ind w:firstLine="1134"/>
        <w:jc w:val="both"/>
        <w:rPr>
          <w:sz w:val="28"/>
          <w:szCs w:val="28"/>
        </w:rPr>
      </w:pPr>
    </w:p>
    <w:tbl>
      <w:tblPr>
        <w:tblW w:w="9643" w:type="dxa"/>
        <w:tblInd w:w="108" w:type="dxa"/>
        <w:tblBorders>
          <w:top w:val="single" w:sz="24" w:space="0" w:color="DC0934"/>
          <w:left w:val="single" w:sz="24" w:space="0" w:color="DC0934"/>
          <w:bottom w:val="single" w:sz="24" w:space="0" w:color="DC0934"/>
          <w:right w:val="single" w:sz="24" w:space="0" w:color="DC0934"/>
          <w:insideH w:val="single" w:sz="6" w:space="0" w:color="DC0934"/>
          <w:insideV w:val="single" w:sz="6" w:space="0" w:color="DC0934"/>
        </w:tblBorders>
        <w:shd w:val="clear" w:color="auto" w:fill="DC0934"/>
        <w:tblLook w:val="04A0" w:firstRow="1" w:lastRow="0" w:firstColumn="1" w:lastColumn="0" w:noHBand="0" w:noVBand="1"/>
      </w:tblPr>
      <w:tblGrid>
        <w:gridCol w:w="407"/>
        <w:gridCol w:w="1913"/>
        <w:gridCol w:w="7323"/>
      </w:tblGrid>
      <w:tr w:rsidR="007B5895" w:rsidRPr="003E7662" w:rsidTr="00B90E28">
        <w:trPr>
          <w:trHeight w:val="1146"/>
        </w:trPr>
        <w:tc>
          <w:tcPr>
            <w:tcW w:w="407" w:type="dxa"/>
            <w:shd w:val="clear" w:color="auto" w:fill="auto"/>
            <w:vAlign w:val="center"/>
          </w:tcPr>
          <w:p w:rsidR="007B5895" w:rsidRPr="007B5895" w:rsidRDefault="007B5895" w:rsidP="007B5895">
            <w:pPr>
              <w:jc w:val="center"/>
              <w:rPr>
                <w:b/>
                <w:color w:val="C00000"/>
                <w:sz w:val="28"/>
                <w:szCs w:val="28"/>
              </w:rPr>
            </w:pPr>
            <w:r>
              <w:rPr>
                <w:sz w:val="28"/>
                <w:szCs w:val="28"/>
              </w:rPr>
              <w:t xml:space="preserve"> </w:t>
            </w:r>
            <w:r w:rsidRPr="007B5895">
              <w:rPr>
                <w:b/>
                <w:color w:val="C00000"/>
                <w:sz w:val="28"/>
                <w:szCs w:val="28"/>
              </w:rPr>
              <w:t>1</w:t>
            </w:r>
          </w:p>
        </w:tc>
        <w:tc>
          <w:tcPr>
            <w:tcW w:w="1913" w:type="dxa"/>
            <w:shd w:val="clear" w:color="auto" w:fill="auto"/>
            <w:vAlign w:val="center"/>
          </w:tcPr>
          <w:p w:rsidR="001B7AF3" w:rsidRPr="001B7AF3" w:rsidRDefault="001B7AF3" w:rsidP="007B5895">
            <w:pPr>
              <w:rPr>
                <w:b/>
                <w:color w:val="C00000"/>
                <w:sz w:val="28"/>
                <w:szCs w:val="28"/>
                <w:lang w:val="en-US"/>
              </w:rPr>
            </w:pPr>
            <w:r w:rsidRPr="001B7AF3">
              <w:rPr>
                <w:b/>
                <w:color w:val="C00000"/>
                <w:sz w:val="28"/>
                <w:szCs w:val="28"/>
                <w:lang w:val="en-US"/>
              </w:rPr>
              <w:t>Is it possible to transfer funds from abroad to the details of existing cards?</w:t>
            </w:r>
          </w:p>
        </w:tc>
        <w:tc>
          <w:tcPr>
            <w:tcW w:w="7323" w:type="dxa"/>
            <w:shd w:val="clear" w:color="auto" w:fill="auto"/>
            <w:vAlign w:val="center"/>
          </w:tcPr>
          <w:p w:rsidR="001B7AF3" w:rsidRPr="003E7662" w:rsidRDefault="001B7AF3" w:rsidP="00E8139A">
            <w:pPr>
              <w:jc w:val="both"/>
              <w:rPr>
                <w:sz w:val="28"/>
                <w:szCs w:val="28"/>
                <w:lang w:val="en-US"/>
              </w:rPr>
            </w:pPr>
            <w:r w:rsidRPr="001B7AF3">
              <w:rPr>
                <w:sz w:val="28"/>
                <w:szCs w:val="28"/>
                <w:u w:val="single"/>
                <w:lang w:val="en-US"/>
              </w:rPr>
              <w:t xml:space="preserve">Students from Kazakhstan, Tajikistan, Belarus, </w:t>
            </w:r>
            <w:proofErr w:type="gramStart"/>
            <w:r w:rsidRPr="001B7AF3">
              <w:rPr>
                <w:sz w:val="28"/>
                <w:szCs w:val="28"/>
                <w:u w:val="single"/>
                <w:lang w:val="en-US"/>
              </w:rPr>
              <w:t>Kyrgyzstan</w:t>
            </w:r>
            <w:proofErr w:type="gramEnd"/>
            <w:r w:rsidRPr="001B7AF3">
              <w:rPr>
                <w:sz w:val="28"/>
                <w:szCs w:val="28"/>
                <w:u w:val="single"/>
                <w:lang w:val="en-US"/>
              </w:rPr>
              <w:t xml:space="preserve"> </w:t>
            </w:r>
            <w:r w:rsidRPr="003E7662">
              <w:rPr>
                <w:sz w:val="28"/>
                <w:szCs w:val="28"/>
                <w:lang w:val="en-US"/>
              </w:rPr>
              <w:t>can receive transfers in rubles to MIR cards.</w:t>
            </w:r>
          </w:p>
          <w:p w:rsidR="001B7AF3" w:rsidRPr="003E7662" w:rsidRDefault="001B7AF3" w:rsidP="00E8139A">
            <w:pPr>
              <w:jc w:val="both"/>
              <w:rPr>
                <w:sz w:val="28"/>
                <w:szCs w:val="28"/>
                <w:lang w:val="en-US"/>
              </w:rPr>
            </w:pPr>
            <w:r w:rsidRPr="001B7AF3">
              <w:rPr>
                <w:sz w:val="28"/>
                <w:szCs w:val="28"/>
                <w:u w:val="single"/>
                <w:lang w:val="en-US"/>
              </w:rPr>
              <w:t xml:space="preserve">Non-CIS students: </w:t>
            </w:r>
            <w:r w:rsidRPr="001B7AF3">
              <w:rPr>
                <w:sz w:val="28"/>
                <w:szCs w:val="28"/>
                <w:lang w:val="en-US"/>
              </w:rPr>
              <w:t xml:space="preserve">for the time being, they cannot receive non-cash transfers in banks, except for </w:t>
            </w:r>
            <w:proofErr w:type="spellStart"/>
            <w:r w:rsidRPr="001B7AF3">
              <w:rPr>
                <w:sz w:val="28"/>
                <w:szCs w:val="28"/>
                <w:lang w:val="en-US"/>
              </w:rPr>
              <w:t>Raiff</w:t>
            </w:r>
            <w:r w:rsidR="003E7662">
              <w:rPr>
                <w:sz w:val="28"/>
                <w:szCs w:val="28"/>
                <w:lang w:val="en-US"/>
              </w:rPr>
              <w:t>ei</w:t>
            </w:r>
            <w:r w:rsidRPr="001B7AF3">
              <w:rPr>
                <w:sz w:val="28"/>
                <w:szCs w:val="28"/>
                <w:lang w:val="en-US"/>
              </w:rPr>
              <w:t>sen</w:t>
            </w:r>
            <w:proofErr w:type="spellEnd"/>
            <w:r w:rsidR="003E7662">
              <w:rPr>
                <w:sz w:val="28"/>
                <w:szCs w:val="28"/>
                <w:lang w:val="en-US"/>
              </w:rPr>
              <w:t xml:space="preserve"> B</w:t>
            </w:r>
            <w:r w:rsidRPr="001B7AF3">
              <w:rPr>
                <w:sz w:val="28"/>
                <w:szCs w:val="28"/>
                <w:lang w:val="en-US"/>
              </w:rPr>
              <w:t>ank, where it is necessary to open an account in dollars or euros. The account can be opened only in branches of this bank. Next, provide bank details to parents or relatives abroad, and they will be able to transfer funds using the details. At the same time, funds are issued only in rubles at the current exchange rate of the Central Bank of the Russian Federation.</w:t>
            </w:r>
          </w:p>
          <w:p w:rsidR="007B5895" w:rsidRPr="001B7AF3" w:rsidRDefault="001B7AF3" w:rsidP="00E8139A">
            <w:pPr>
              <w:jc w:val="both"/>
              <w:rPr>
                <w:sz w:val="28"/>
                <w:szCs w:val="28"/>
                <w:lang w:val="en-US"/>
              </w:rPr>
            </w:pPr>
            <w:r w:rsidRPr="001B7AF3">
              <w:rPr>
                <w:sz w:val="28"/>
                <w:szCs w:val="28"/>
                <w:lang w:val="en-US"/>
              </w:rPr>
              <w:t xml:space="preserve">In the near future, it is possible to open a similar opportunity in </w:t>
            </w:r>
            <w:proofErr w:type="spellStart"/>
            <w:r w:rsidRPr="001B7AF3">
              <w:rPr>
                <w:sz w:val="28"/>
                <w:szCs w:val="28"/>
                <w:lang w:val="en-US"/>
              </w:rPr>
              <w:t>Sinara</w:t>
            </w:r>
            <w:proofErr w:type="spellEnd"/>
            <w:r w:rsidRPr="001B7AF3">
              <w:rPr>
                <w:sz w:val="28"/>
                <w:szCs w:val="28"/>
                <w:lang w:val="en-US"/>
              </w:rPr>
              <w:t>-Bank (former SKB-Bank), which will be announced later.</w:t>
            </w:r>
          </w:p>
        </w:tc>
      </w:tr>
      <w:tr w:rsidR="00CC2D5F" w:rsidRPr="003E7662" w:rsidTr="00B90E28">
        <w:trPr>
          <w:trHeight w:val="1146"/>
        </w:trPr>
        <w:tc>
          <w:tcPr>
            <w:tcW w:w="407" w:type="dxa"/>
            <w:shd w:val="clear" w:color="auto" w:fill="auto"/>
            <w:vAlign w:val="center"/>
          </w:tcPr>
          <w:p w:rsidR="00CC2D5F" w:rsidRPr="007B5895" w:rsidRDefault="00CC2D5F" w:rsidP="007B5895">
            <w:pPr>
              <w:jc w:val="center"/>
              <w:rPr>
                <w:b/>
                <w:color w:val="C00000"/>
                <w:sz w:val="28"/>
                <w:szCs w:val="28"/>
              </w:rPr>
            </w:pPr>
            <w:r>
              <w:rPr>
                <w:b/>
                <w:color w:val="C00000"/>
                <w:sz w:val="28"/>
                <w:szCs w:val="28"/>
              </w:rPr>
              <w:t>2</w:t>
            </w:r>
          </w:p>
        </w:tc>
        <w:tc>
          <w:tcPr>
            <w:tcW w:w="1913" w:type="dxa"/>
            <w:shd w:val="clear" w:color="auto" w:fill="auto"/>
            <w:vAlign w:val="center"/>
          </w:tcPr>
          <w:p w:rsidR="00CC2D5F" w:rsidRPr="001B7AF3" w:rsidRDefault="001B7AF3" w:rsidP="007B5895">
            <w:pPr>
              <w:rPr>
                <w:b/>
                <w:color w:val="C00000"/>
                <w:sz w:val="28"/>
                <w:szCs w:val="28"/>
                <w:lang w:val="en-US"/>
              </w:rPr>
            </w:pPr>
            <w:r w:rsidRPr="001B7AF3">
              <w:rPr>
                <w:b/>
                <w:color w:val="C00000"/>
                <w:sz w:val="28"/>
                <w:szCs w:val="28"/>
                <w:lang w:val="en-US"/>
              </w:rPr>
              <w:t xml:space="preserve">Can I get a </w:t>
            </w:r>
            <w:proofErr w:type="spellStart"/>
            <w:r w:rsidRPr="001B7AF3">
              <w:rPr>
                <w:b/>
                <w:color w:val="C00000"/>
                <w:sz w:val="28"/>
                <w:szCs w:val="28"/>
                <w:lang w:val="en-US"/>
              </w:rPr>
              <w:t>UnionPay</w:t>
            </w:r>
            <w:proofErr w:type="spellEnd"/>
            <w:r w:rsidRPr="001B7AF3">
              <w:rPr>
                <w:b/>
                <w:color w:val="C00000"/>
                <w:sz w:val="28"/>
                <w:szCs w:val="28"/>
                <w:lang w:val="en-US"/>
              </w:rPr>
              <w:t xml:space="preserve"> debit card and receive funds from abroad using it?</w:t>
            </w:r>
          </w:p>
        </w:tc>
        <w:tc>
          <w:tcPr>
            <w:tcW w:w="7323" w:type="dxa"/>
            <w:shd w:val="clear" w:color="auto" w:fill="auto"/>
            <w:vAlign w:val="center"/>
          </w:tcPr>
          <w:p w:rsidR="00CC2D5F" w:rsidRPr="001B7AF3" w:rsidRDefault="001B7AF3" w:rsidP="00CC2D5F">
            <w:pPr>
              <w:jc w:val="both"/>
              <w:rPr>
                <w:sz w:val="28"/>
                <w:szCs w:val="28"/>
                <w:lang w:val="en-US"/>
              </w:rPr>
            </w:pPr>
            <w:r w:rsidRPr="001B7AF3">
              <w:rPr>
                <w:sz w:val="28"/>
                <w:szCs w:val="28"/>
                <w:lang w:val="en-US"/>
              </w:rPr>
              <w:t xml:space="preserve">Yes, today you can get a debit card from </w:t>
            </w:r>
            <w:proofErr w:type="spellStart"/>
            <w:r w:rsidRPr="001B7AF3">
              <w:rPr>
                <w:sz w:val="28"/>
                <w:szCs w:val="28"/>
                <w:lang w:val="en-US"/>
              </w:rPr>
              <w:t>Rosselkhozbank</w:t>
            </w:r>
            <w:proofErr w:type="spellEnd"/>
            <w:r w:rsidRPr="001B7AF3">
              <w:rPr>
                <w:sz w:val="28"/>
                <w:szCs w:val="28"/>
                <w:lang w:val="en-US"/>
              </w:rPr>
              <w:t xml:space="preserve"> and </w:t>
            </w:r>
            <w:proofErr w:type="spellStart"/>
            <w:r w:rsidRPr="001B7AF3">
              <w:rPr>
                <w:sz w:val="28"/>
                <w:szCs w:val="28"/>
                <w:lang w:val="en-US"/>
              </w:rPr>
              <w:t>Gazprombank</w:t>
            </w:r>
            <w:proofErr w:type="spellEnd"/>
            <w:r w:rsidRPr="001B7AF3">
              <w:rPr>
                <w:sz w:val="28"/>
                <w:szCs w:val="28"/>
                <w:lang w:val="en-US"/>
              </w:rPr>
              <w:t xml:space="preserve"> with the MIR / </w:t>
            </w:r>
            <w:proofErr w:type="spellStart"/>
            <w:r w:rsidRPr="001B7AF3">
              <w:rPr>
                <w:sz w:val="28"/>
                <w:szCs w:val="28"/>
                <w:lang w:val="en-US"/>
              </w:rPr>
              <w:t>UnionPay</w:t>
            </w:r>
            <w:proofErr w:type="spellEnd"/>
            <w:r w:rsidRPr="001B7AF3">
              <w:rPr>
                <w:sz w:val="28"/>
                <w:szCs w:val="28"/>
                <w:lang w:val="en-US"/>
              </w:rPr>
              <w:t xml:space="preserve"> payment system (other Russian banks are not yet connected to the </w:t>
            </w:r>
            <w:proofErr w:type="spellStart"/>
            <w:r w:rsidRPr="001B7AF3">
              <w:rPr>
                <w:sz w:val="28"/>
                <w:szCs w:val="28"/>
                <w:lang w:val="en-US"/>
              </w:rPr>
              <w:t>UnionPay</w:t>
            </w:r>
            <w:proofErr w:type="spellEnd"/>
            <w:r w:rsidRPr="001B7AF3">
              <w:rPr>
                <w:sz w:val="28"/>
                <w:szCs w:val="28"/>
                <w:lang w:val="en-US"/>
              </w:rPr>
              <w:t xml:space="preserve"> payment system). Then you need to provide bank details to parents / relatives abroad, and they will be able to transfer funds using the details.</w:t>
            </w:r>
          </w:p>
        </w:tc>
      </w:tr>
      <w:tr w:rsidR="007B5895" w:rsidRPr="003E7662" w:rsidTr="00B90E28">
        <w:trPr>
          <w:trHeight w:val="94"/>
        </w:trPr>
        <w:tc>
          <w:tcPr>
            <w:tcW w:w="407" w:type="dxa"/>
            <w:shd w:val="clear" w:color="auto" w:fill="auto"/>
            <w:vAlign w:val="center"/>
          </w:tcPr>
          <w:p w:rsidR="007B5895" w:rsidRPr="007B5895" w:rsidRDefault="007B5895" w:rsidP="007B5895">
            <w:pPr>
              <w:jc w:val="center"/>
              <w:rPr>
                <w:b/>
                <w:color w:val="C00000"/>
                <w:sz w:val="28"/>
                <w:szCs w:val="28"/>
              </w:rPr>
            </w:pPr>
            <w:r w:rsidRPr="007B5895">
              <w:rPr>
                <w:b/>
                <w:color w:val="C00000"/>
                <w:sz w:val="28"/>
                <w:szCs w:val="28"/>
              </w:rPr>
              <w:t>3</w:t>
            </w:r>
          </w:p>
        </w:tc>
        <w:tc>
          <w:tcPr>
            <w:tcW w:w="1913" w:type="dxa"/>
            <w:shd w:val="clear" w:color="auto" w:fill="auto"/>
            <w:vAlign w:val="center"/>
          </w:tcPr>
          <w:p w:rsidR="007B5895" w:rsidRPr="001B7AF3" w:rsidRDefault="001B7AF3" w:rsidP="007B5895">
            <w:pPr>
              <w:rPr>
                <w:b/>
                <w:color w:val="C00000"/>
                <w:sz w:val="28"/>
                <w:szCs w:val="28"/>
                <w:lang w:val="en-US"/>
              </w:rPr>
            </w:pPr>
            <w:r w:rsidRPr="001B7AF3">
              <w:rPr>
                <w:b/>
                <w:color w:val="C00000"/>
                <w:sz w:val="28"/>
                <w:szCs w:val="28"/>
                <w:lang w:val="en-US"/>
              </w:rPr>
              <w:t>Is there a fee for withdrawals in USD?</w:t>
            </w:r>
          </w:p>
        </w:tc>
        <w:tc>
          <w:tcPr>
            <w:tcW w:w="7323" w:type="dxa"/>
            <w:shd w:val="clear" w:color="auto" w:fill="auto"/>
            <w:vAlign w:val="center"/>
          </w:tcPr>
          <w:p w:rsidR="007B5895" w:rsidRPr="001B7AF3" w:rsidRDefault="001B7AF3" w:rsidP="007B5895">
            <w:pPr>
              <w:tabs>
                <w:tab w:val="left" w:pos="0"/>
              </w:tabs>
              <w:jc w:val="both"/>
              <w:rPr>
                <w:sz w:val="28"/>
                <w:szCs w:val="28"/>
                <w:lang w:val="en-US"/>
              </w:rPr>
            </w:pPr>
            <w:r w:rsidRPr="001B7AF3">
              <w:rPr>
                <w:sz w:val="28"/>
                <w:szCs w:val="28"/>
                <w:lang w:val="en-US"/>
              </w:rPr>
              <w:t>There is no fee for withdrawing cash in US dollars, but it is better to check this information directly with banks.</w:t>
            </w:r>
          </w:p>
        </w:tc>
      </w:tr>
      <w:tr w:rsidR="007B5895" w:rsidRPr="003E7662" w:rsidTr="00B90E28">
        <w:trPr>
          <w:trHeight w:val="607"/>
        </w:trPr>
        <w:tc>
          <w:tcPr>
            <w:tcW w:w="407" w:type="dxa"/>
            <w:shd w:val="clear" w:color="auto" w:fill="auto"/>
            <w:vAlign w:val="center"/>
          </w:tcPr>
          <w:p w:rsidR="007B5895" w:rsidRPr="007B5895" w:rsidRDefault="007B5895" w:rsidP="007B5895">
            <w:pPr>
              <w:jc w:val="center"/>
              <w:rPr>
                <w:b/>
                <w:color w:val="C00000"/>
                <w:sz w:val="28"/>
                <w:szCs w:val="28"/>
              </w:rPr>
            </w:pPr>
            <w:r w:rsidRPr="007B5895">
              <w:rPr>
                <w:b/>
                <w:color w:val="C00000"/>
                <w:sz w:val="28"/>
                <w:szCs w:val="28"/>
              </w:rPr>
              <w:t>4</w:t>
            </w:r>
          </w:p>
        </w:tc>
        <w:tc>
          <w:tcPr>
            <w:tcW w:w="1913" w:type="dxa"/>
            <w:shd w:val="clear" w:color="auto" w:fill="auto"/>
            <w:vAlign w:val="center"/>
          </w:tcPr>
          <w:p w:rsidR="007B5895" w:rsidRPr="001B7AF3" w:rsidRDefault="001B7AF3" w:rsidP="007B5895">
            <w:pPr>
              <w:rPr>
                <w:b/>
                <w:color w:val="C00000"/>
                <w:sz w:val="28"/>
                <w:szCs w:val="28"/>
                <w:lang w:val="en-US"/>
              </w:rPr>
            </w:pPr>
            <w:r w:rsidRPr="001B7AF3">
              <w:rPr>
                <w:b/>
                <w:color w:val="C00000"/>
                <w:sz w:val="28"/>
                <w:szCs w:val="28"/>
                <w:lang w:val="en-US"/>
              </w:rPr>
              <w:t>Does Western Union system work?</w:t>
            </w:r>
          </w:p>
        </w:tc>
        <w:tc>
          <w:tcPr>
            <w:tcW w:w="7323" w:type="dxa"/>
            <w:shd w:val="clear" w:color="auto" w:fill="auto"/>
            <w:vAlign w:val="center"/>
          </w:tcPr>
          <w:p w:rsidR="007B5895" w:rsidRPr="001B7AF3" w:rsidRDefault="001B7AF3" w:rsidP="007B5895">
            <w:pPr>
              <w:tabs>
                <w:tab w:val="left" w:pos="0"/>
              </w:tabs>
              <w:rPr>
                <w:sz w:val="28"/>
                <w:szCs w:val="28"/>
                <w:lang w:val="en-US"/>
              </w:rPr>
            </w:pPr>
            <w:r w:rsidRPr="001B7AF3">
              <w:rPr>
                <w:sz w:val="28"/>
                <w:szCs w:val="28"/>
                <w:lang w:val="en-US"/>
              </w:rPr>
              <w:t>The Western Union system works until 03/24/2022, after which it ceases to operate on the territory of the Russian Federation.</w:t>
            </w:r>
          </w:p>
        </w:tc>
      </w:tr>
      <w:tr w:rsidR="007B5895" w:rsidRPr="003E7662" w:rsidTr="00B90E28">
        <w:trPr>
          <w:trHeight w:val="607"/>
        </w:trPr>
        <w:tc>
          <w:tcPr>
            <w:tcW w:w="407" w:type="dxa"/>
            <w:shd w:val="clear" w:color="auto" w:fill="auto"/>
            <w:vAlign w:val="center"/>
          </w:tcPr>
          <w:p w:rsidR="007B5895" w:rsidRPr="007B5895" w:rsidRDefault="007B5895" w:rsidP="007B5895">
            <w:pPr>
              <w:jc w:val="center"/>
              <w:rPr>
                <w:b/>
                <w:color w:val="C00000"/>
                <w:sz w:val="28"/>
                <w:szCs w:val="28"/>
              </w:rPr>
            </w:pPr>
            <w:r w:rsidRPr="007B5895">
              <w:rPr>
                <w:b/>
                <w:color w:val="C00000"/>
                <w:sz w:val="28"/>
                <w:szCs w:val="28"/>
              </w:rPr>
              <w:t>5</w:t>
            </w:r>
          </w:p>
        </w:tc>
        <w:tc>
          <w:tcPr>
            <w:tcW w:w="1913" w:type="dxa"/>
            <w:shd w:val="clear" w:color="auto" w:fill="auto"/>
            <w:vAlign w:val="center"/>
          </w:tcPr>
          <w:p w:rsidR="007B5895" w:rsidRPr="00B149E5" w:rsidRDefault="00B149E5" w:rsidP="007B5895">
            <w:pPr>
              <w:rPr>
                <w:b/>
                <w:color w:val="C00000"/>
                <w:sz w:val="28"/>
                <w:szCs w:val="28"/>
                <w:lang w:val="en-US"/>
              </w:rPr>
            </w:pPr>
            <w:r w:rsidRPr="00B149E5">
              <w:rPr>
                <w:b/>
                <w:color w:val="C00000"/>
                <w:sz w:val="28"/>
                <w:szCs w:val="28"/>
                <w:lang w:val="en-US"/>
              </w:rPr>
              <w:t>How much can a non-resident of the Russian Federation transfer money abroad?</w:t>
            </w:r>
          </w:p>
        </w:tc>
        <w:tc>
          <w:tcPr>
            <w:tcW w:w="7323" w:type="dxa"/>
            <w:shd w:val="clear" w:color="auto" w:fill="auto"/>
            <w:vAlign w:val="center"/>
          </w:tcPr>
          <w:p w:rsidR="00B149E5" w:rsidRPr="00B149E5" w:rsidRDefault="00B149E5" w:rsidP="00B149E5">
            <w:pPr>
              <w:tabs>
                <w:tab w:val="left" w:pos="0"/>
              </w:tabs>
              <w:jc w:val="both"/>
              <w:rPr>
                <w:sz w:val="28"/>
                <w:szCs w:val="28"/>
                <w:lang w:val="en-US"/>
              </w:rPr>
            </w:pPr>
            <w:r w:rsidRPr="00B149E5">
              <w:rPr>
                <w:sz w:val="28"/>
                <w:szCs w:val="28"/>
                <w:lang w:val="en-US"/>
              </w:rPr>
              <w:t>Transfers by residents of unfriendly countries are temporarily suspended.</w:t>
            </w:r>
          </w:p>
          <w:p w:rsidR="007B5895" w:rsidRPr="00B149E5" w:rsidRDefault="00B149E5" w:rsidP="00B149E5">
            <w:pPr>
              <w:tabs>
                <w:tab w:val="left" w:pos="0"/>
              </w:tabs>
              <w:jc w:val="both"/>
              <w:rPr>
                <w:sz w:val="28"/>
                <w:szCs w:val="28"/>
                <w:lang w:val="en-US"/>
              </w:rPr>
            </w:pPr>
            <w:r w:rsidRPr="00B149E5">
              <w:rPr>
                <w:sz w:val="28"/>
                <w:szCs w:val="28"/>
                <w:lang w:val="en-US"/>
              </w:rPr>
              <w:t>Transfers by residents of other countries (not hostile) are carried out in the amount of no more than 5000 USD per month, incl. in the currency of the Russian Federation (at the exchange rate of the Central Bank of the Russian Federation on the day of transfer)</w:t>
            </w:r>
          </w:p>
        </w:tc>
      </w:tr>
      <w:tr w:rsidR="007B5895" w:rsidRPr="003E7662" w:rsidTr="00B90E28">
        <w:trPr>
          <w:trHeight w:val="257"/>
        </w:trPr>
        <w:tc>
          <w:tcPr>
            <w:tcW w:w="407" w:type="dxa"/>
            <w:shd w:val="clear" w:color="auto" w:fill="auto"/>
            <w:vAlign w:val="center"/>
          </w:tcPr>
          <w:p w:rsidR="007B5895" w:rsidRPr="007B5895" w:rsidRDefault="007B5895" w:rsidP="007B5895">
            <w:pPr>
              <w:jc w:val="center"/>
              <w:rPr>
                <w:b/>
                <w:color w:val="C00000"/>
                <w:sz w:val="28"/>
                <w:szCs w:val="28"/>
              </w:rPr>
            </w:pPr>
            <w:bookmarkStart w:id="0" w:name="_GoBack" w:colFirst="1" w:colLast="1"/>
            <w:r w:rsidRPr="007B5895">
              <w:rPr>
                <w:b/>
                <w:color w:val="C00000"/>
                <w:sz w:val="28"/>
                <w:szCs w:val="28"/>
              </w:rPr>
              <w:t>6</w:t>
            </w:r>
          </w:p>
        </w:tc>
        <w:tc>
          <w:tcPr>
            <w:tcW w:w="1913" w:type="dxa"/>
            <w:shd w:val="clear" w:color="auto" w:fill="auto"/>
            <w:vAlign w:val="center"/>
          </w:tcPr>
          <w:p w:rsidR="007B5895" w:rsidRPr="00B149E5" w:rsidRDefault="00B149E5" w:rsidP="007B5895">
            <w:pPr>
              <w:rPr>
                <w:b/>
                <w:color w:val="C00000"/>
                <w:sz w:val="28"/>
                <w:szCs w:val="28"/>
                <w:lang w:val="en-US"/>
              </w:rPr>
            </w:pPr>
            <w:r w:rsidRPr="00B149E5">
              <w:rPr>
                <w:b/>
                <w:color w:val="C00000"/>
                <w:sz w:val="28"/>
                <w:szCs w:val="28"/>
                <w:lang w:val="en-US"/>
              </w:rPr>
              <w:t>Is it possible to open accounts and deposits in foreign currency?</w:t>
            </w:r>
          </w:p>
        </w:tc>
        <w:tc>
          <w:tcPr>
            <w:tcW w:w="7323" w:type="dxa"/>
            <w:shd w:val="clear" w:color="auto" w:fill="auto"/>
            <w:vAlign w:val="center"/>
          </w:tcPr>
          <w:p w:rsidR="007B5895" w:rsidRPr="00B149E5" w:rsidRDefault="00B149E5" w:rsidP="007B5895">
            <w:pPr>
              <w:tabs>
                <w:tab w:val="left" w:pos="0"/>
              </w:tabs>
              <w:jc w:val="both"/>
              <w:rPr>
                <w:sz w:val="28"/>
                <w:szCs w:val="28"/>
                <w:lang w:val="en-US"/>
              </w:rPr>
            </w:pPr>
            <w:r w:rsidRPr="00B149E5">
              <w:rPr>
                <w:sz w:val="28"/>
                <w:szCs w:val="28"/>
                <w:lang w:val="en-US"/>
              </w:rPr>
              <w:t>Opening of new accounts and deposits in foreign currency is carried out without restrictions.</w:t>
            </w:r>
          </w:p>
        </w:tc>
      </w:tr>
      <w:tr w:rsidR="007B5895" w:rsidRPr="003E7662" w:rsidTr="00B90E28">
        <w:trPr>
          <w:trHeight w:val="397"/>
        </w:trPr>
        <w:tc>
          <w:tcPr>
            <w:tcW w:w="407" w:type="dxa"/>
            <w:shd w:val="clear" w:color="auto" w:fill="auto"/>
            <w:vAlign w:val="center"/>
          </w:tcPr>
          <w:p w:rsidR="007B5895" w:rsidRPr="007B5895" w:rsidRDefault="007B5895" w:rsidP="007B5895">
            <w:pPr>
              <w:jc w:val="center"/>
              <w:rPr>
                <w:b/>
                <w:color w:val="C00000"/>
                <w:sz w:val="28"/>
                <w:szCs w:val="28"/>
              </w:rPr>
            </w:pPr>
            <w:r w:rsidRPr="007B5895">
              <w:rPr>
                <w:b/>
                <w:color w:val="C00000"/>
                <w:sz w:val="28"/>
                <w:szCs w:val="28"/>
              </w:rPr>
              <w:t>7</w:t>
            </w:r>
          </w:p>
        </w:tc>
        <w:tc>
          <w:tcPr>
            <w:tcW w:w="1913" w:type="dxa"/>
            <w:shd w:val="clear" w:color="auto" w:fill="auto"/>
            <w:vAlign w:val="center"/>
          </w:tcPr>
          <w:p w:rsidR="007B5895" w:rsidRPr="00B149E5" w:rsidRDefault="00B149E5" w:rsidP="007B5895">
            <w:pPr>
              <w:rPr>
                <w:b/>
                <w:color w:val="C00000"/>
                <w:sz w:val="28"/>
                <w:szCs w:val="28"/>
                <w:lang w:val="en-US"/>
              </w:rPr>
            </w:pPr>
            <w:r w:rsidRPr="00B149E5">
              <w:rPr>
                <w:b/>
                <w:color w:val="C00000"/>
                <w:sz w:val="28"/>
                <w:szCs w:val="28"/>
                <w:lang w:val="en-US"/>
              </w:rPr>
              <w:t xml:space="preserve">Can I buy foreign currency in </w:t>
            </w:r>
            <w:r w:rsidRPr="00B149E5">
              <w:rPr>
                <w:b/>
                <w:color w:val="C00000"/>
                <w:sz w:val="28"/>
                <w:szCs w:val="28"/>
                <w:lang w:val="en-US"/>
              </w:rPr>
              <w:lastRenderedPageBreak/>
              <w:t>cash at the Bank?</w:t>
            </w:r>
          </w:p>
        </w:tc>
        <w:tc>
          <w:tcPr>
            <w:tcW w:w="7323" w:type="dxa"/>
            <w:shd w:val="clear" w:color="auto" w:fill="auto"/>
            <w:vAlign w:val="center"/>
          </w:tcPr>
          <w:p w:rsidR="00B149E5" w:rsidRPr="00B149E5" w:rsidRDefault="00B149E5" w:rsidP="00B149E5">
            <w:pPr>
              <w:tabs>
                <w:tab w:val="left" w:pos="0"/>
              </w:tabs>
              <w:jc w:val="both"/>
              <w:rPr>
                <w:sz w:val="28"/>
                <w:szCs w:val="28"/>
                <w:lang w:val="en-US"/>
              </w:rPr>
            </w:pPr>
            <w:r w:rsidRPr="00B149E5">
              <w:rPr>
                <w:sz w:val="28"/>
                <w:szCs w:val="28"/>
                <w:lang w:val="en-US"/>
              </w:rPr>
              <w:lastRenderedPageBreak/>
              <w:t>Sales of any foreign currency to customers are not carried out.</w:t>
            </w:r>
          </w:p>
          <w:p w:rsidR="007B5895" w:rsidRPr="00B149E5" w:rsidRDefault="00B149E5" w:rsidP="00B149E5">
            <w:pPr>
              <w:tabs>
                <w:tab w:val="left" w:pos="0"/>
              </w:tabs>
              <w:jc w:val="both"/>
              <w:rPr>
                <w:sz w:val="28"/>
                <w:szCs w:val="28"/>
                <w:lang w:val="en-US"/>
              </w:rPr>
            </w:pPr>
            <w:r w:rsidRPr="00B149E5">
              <w:rPr>
                <w:sz w:val="28"/>
                <w:szCs w:val="28"/>
                <w:lang w:val="en-US"/>
              </w:rPr>
              <w:t>It is possible to exchange cash foreign currency for rubles in any amount</w:t>
            </w:r>
          </w:p>
        </w:tc>
      </w:tr>
      <w:bookmarkEnd w:id="0"/>
    </w:tbl>
    <w:p w:rsidR="007B5895" w:rsidRPr="00B149E5" w:rsidRDefault="007B5895" w:rsidP="007B5895">
      <w:pPr>
        <w:spacing w:line="360" w:lineRule="auto"/>
        <w:ind w:firstLine="1134"/>
        <w:jc w:val="both"/>
        <w:rPr>
          <w:sz w:val="28"/>
          <w:szCs w:val="28"/>
          <w:lang w:val="en-US"/>
        </w:rPr>
      </w:pPr>
    </w:p>
    <w:p w:rsidR="00D47416" w:rsidRPr="00B149E5" w:rsidRDefault="00D47416">
      <w:pPr>
        <w:spacing w:line="360" w:lineRule="auto"/>
        <w:ind w:firstLine="1134"/>
        <w:jc w:val="both"/>
        <w:rPr>
          <w:sz w:val="28"/>
          <w:szCs w:val="28"/>
          <w:lang w:val="en-US"/>
        </w:rPr>
      </w:pPr>
    </w:p>
    <w:sectPr w:rsidR="00D47416" w:rsidRPr="00B149E5" w:rsidSect="00B90E28">
      <w:pgSz w:w="11906" w:h="16838"/>
      <w:pgMar w:top="1134" w:right="850"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D43910"/>
    <w:multiLevelType w:val="hybridMultilevel"/>
    <w:tmpl w:val="C158F96A"/>
    <w:lvl w:ilvl="0" w:tplc="0B3666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1A53269"/>
    <w:multiLevelType w:val="hybridMultilevel"/>
    <w:tmpl w:val="538A5CEC"/>
    <w:lvl w:ilvl="0" w:tplc="0B3666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895"/>
    <w:rsid w:val="001A57E9"/>
    <w:rsid w:val="001B7AF3"/>
    <w:rsid w:val="003E7662"/>
    <w:rsid w:val="007B5895"/>
    <w:rsid w:val="00963872"/>
    <w:rsid w:val="00B149E5"/>
    <w:rsid w:val="00B90E28"/>
    <w:rsid w:val="00BA32BF"/>
    <w:rsid w:val="00C67E0D"/>
    <w:rsid w:val="00CC2D5F"/>
    <w:rsid w:val="00D47416"/>
    <w:rsid w:val="00E8139A"/>
    <w:rsid w:val="00FF65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89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B5895"/>
    <w:pPr>
      <w:spacing w:after="120"/>
      <w:ind w:left="283"/>
    </w:pPr>
  </w:style>
  <w:style w:type="character" w:customStyle="1" w:styleId="a4">
    <w:name w:val="Основной текст с отступом Знак"/>
    <w:basedOn w:val="a0"/>
    <w:link w:val="a3"/>
    <w:rsid w:val="007B5895"/>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1A57E9"/>
    <w:rPr>
      <w:rFonts w:ascii="Segoe UI" w:hAnsi="Segoe UI" w:cs="Segoe UI"/>
      <w:sz w:val="18"/>
      <w:szCs w:val="18"/>
    </w:rPr>
  </w:style>
  <w:style w:type="character" w:customStyle="1" w:styleId="a6">
    <w:name w:val="Текст выноски Знак"/>
    <w:basedOn w:val="a0"/>
    <w:link w:val="a5"/>
    <w:uiPriority w:val="99"/>
    <w:semiHidden/>
    <w:rsid w:val="001A57E9"/>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89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B5895"/>
    <w:pPr>
      <w:spacing w:after="120"/>
      <w:ind w:left="283"/>
    </w:pPr>
  </w:style>
  <w:style w:type="character" w:customStyle="1" w:styleId="a4">
    <w:name w:val="Основной текст с отступом Знак"/>
    <w:basedOn w:val="a0"/>
    <w:link w:val="a3"/>
    <w:rsid w:val="007B5895"/>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1A57E9"/>
    <w:rPr>
      <w:rFonts w:ascii="Segoe UI" w:hAnsi="Segoe UI" w:cs="Segoe UI"/>
      <w:sz w:val="18"/>
      <w:szCs w:val="18"/>
    </w:rPr>
  </w:style>
  <w:style w:type="character" w:customStyle="1" w:styleId="a6">
    <w:name w:val="Текст выноски Знак"/>
    <w:basedOn w:val="a0"/>
    <w:link w:val="a5"/>
    <w:uiPriority w:val="99"/>
    <w:semiHidden/>
    <w:rsid w:val="001A57E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339</Words>
  <Characters>1936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Кузьмин Илья Вадимович</dc:creator>
  <cp:lastModifiedBy>Uzer</cp:lastModifiedBy>
  <cp:revision>4</cp:revision>
  <cp:lastPrinted>2022-03-16T06:53:00Z</cp:lastPrinted>
  <dcterms:created xsi:type="dcterms:W3CDTF">2022-03-26T18:20:00Z</dcterms:created>
  <dcterms:modified xsi:type="dcterms:W3CDTF">2022-03-26T18:25:00Z</dcterms:modified>
</cp:coreProperties>
</file>